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E1622" w14:textId="77777777" w:rsidR="003138D6" w:rsidRPr="003138D6" w:rsidRDefault="003138D6" w:rsidP="003138D6">
      <w:pPr>
        <w:pStyle w:val="a3"/>
        <w:shd w:val="clear" w:color="auto" w:fill="FFFFFF"/>
        <w:spacing w:before="0" w:beforeAutospacing="0" w:after="0" w:afterAutospacing="0" w:line="600" w:lineRule="atLeast"/>
        <w:jc w:val="center"/>
        <w:rPr>
          <w:rFonts w:ascii="微软雅黑" w:eastAsia="微软雅黑" w:hAnsi="微软雅黑" w:hint="eastAsia"/>
          <w:b/>
          <w:bCs/>
          <w:color w:val="333333"/>
        </w:rPr>
      </w:pPr>
      <w:r w:rsidRPr="003138D6">
        <w:rPr>
          <w:rFonts w:ascii="Arial" w:eastAsia="微软雅黑" w:hAnsi="Arial" w:cs="Arial"/>
          <w:b/>
          <w:bCs/>
          <w:color w:val="333333"/>
        </w:rPr>
        <w:t>泸州市人民政府办公室</w:t>
      </w:r>
    </w:p>
    <w:p w14:paraId="600C1274" w14:textId="77777777" w:rsidR="003138D6" w:rsidRPr="003138D6" w:rsidRDefault="003138D6" w:rsidP="003138D6">
      <w:pPr>
        <w:pStyle w:val="a3"/>
        <w:shd w:val="clear" w:color="auto" w:fill="FFFFFF"/>
        <w:spacing w:before="0" w:beforeAutospacing="0" w:after="0" w:afterAutospacing="0" w:line="600" w:lineRule="atLeast"/>
        <w:jc w:val="center"/>
        <w:rPr>
          <w:rFonts w:ascii="微软雅黑" w:eastAsia="微软雅黑" w:hAnsi="微软雅黑"/>
          <w:b/>
          <w:bCs/>
          <w:color w:val="333333"/>
        </w:rPr>
      </w:pPr>
      <w:r w:rsidRPr="003138D6">
        <w:rPr>
          <w:rFonts w:ascii="Arial" w:eastAsia="微软雅黑" w:hAnsi="Arial" w:cs="Arial"/>
          <w:b/>
          <w:bCs/>
          <w:color w:val="333333"/>
        </w:rPr>
        <w:t>关于印发泸州市职工基本医疗保险门诊共济保障机制实施细则的通知</w:t>
      </w:r>
    </w:p>
    <w:p w14:paraId="2C720AFD" w14:textId="46D477FD" w:rsidR="003138D6" w:rsidRPr="003138D6" w:rsidRDefault="003138D6" w:rsidP="003138D6">
      <w:pPr>
        <w:pStyle w:val="a3"/>
        <w:shd w:val="clear" w:color="auto" w:fill="FFFFFF"/>
        <w:spacing w:before="0" w:beforeAutospacing="0" w:after="0" w:afterAutospacing="0" w:line="600" w:lineRule="atLeast"/>
        <w:jc w:val="center"/>
        <w:rPr>
          <w:rFonts w:ascii="微软雅黑" w:eastAsia="微软雅黑" w:hAnsi="微软雅黑"/>
          <w:b/>
          <w:bCs/>
          <w:color w:val="333333"/>
        </w:rPr>
      </w:pPr>
      <w:r w:rsidRPr="003138D6">
        <w:rPr>
          <w:rFonts w:ascii="Arial" w:eastAsia="微软雅黑" w:hAnsi="Arial" w:cs="Arial"/>
          <w:b/>
          <w:bCs/>
          <w:color w:val="333333"/>
        </w:rPr>
        <w:t>泸市府办规〔</w:t>
      </w:r>
      <w:r w:rsidRPr="003138D6">
        <w:rPr>
          <w:rFonts w:ascii="Arial" w:eastAsia="微软雅黑" w:hAnsi="Arial" w:cs="Arial"/>
          <w:b/>
          <w:bCs/>
          <w:color w:val="333333"/>
        </w:rPr>
        <w:t>2022</w:t>
      </w:r>
      <w:r w:rsidRPr="003138D6">
        <w:rPr>
          <w:rFonts w:ascii="Arial" w:eastAsia="微软雅黑" w:hAnsi="Arial" w:cs="Arial"/>
          <w:b/>
          <w:bCs/>
          <w:color w:val="333333"/>
        </w:rPr>
        <w:t>〕</w:t>
      </w:r>
      <w:r w:rsidRPr="003138D6">
        <w:rPr>
          <w:rFonts w:ascii="Arial" w:eastAsia="微软雅黑" w:hAnsi="Arial" w:cs="Arial"/>
          <w:b/>
          <w:bCs/>
          <w:color w:val="333333"/>
        </w:rPr>
        <w:t>6</w:t>
      </w:r>
      <w:r w:rsidRPr="003138D6">
        <w:rPr>
          <w:rFonts w:ascii="Arial" w:eastAsia="微软雅黑" w:hAnsi="Arial" w:cs="Arial"/>
          <w:b/>
          <w:bCs/>
          <w:color w:val="333333"/>
        </w:rPr>
        <w:t>号</w:t>
      </w:r>
    </w:p>
    <w:p w14:paraId="6D03544B" w14:textId="6F2F4745" w:rsidR="009904E8" w:rsidRDefault="003138D6" w:rsidP="003138D6">
      <w:pPr>
        <w:pStyle w:val="a3"/>
        <w:shd w:val="clear" w:color="auto" w:fill="FFFFFF"/>
        <w:spacing w:before="0" w:beforeAutospacing="0" w:after="0" w:afterAutospacing="0" w:line="600" w:lineRule="atLeast"/>
        <w:jc w:val="both"/>
        <w:rPr>
          <w:rFonts w:ascii="微软雅黑" w:eastAsia="微软雅黑" w:hAnsi="微软雅黑"/>
          <w:color w:val="333333"/>
        </w:rPr>
      </w:pPr>
      <w:r>
        <w:rPr>
          <w:rFonts w:ascii="Arial" w:eastAsia="微软雅黑" w:hAnsi="Arial" w:cs="Arial"/>
          <w:color w:val="333333"/>
        </w:rPr>
        <w:t> </w:t>
      </w:r>
      <w:r w:rsidR="009904E8">
        <w:rPr>
          <w:rFonts w:ascii="Arial" w:eastAsia="微软雅黑" w:hAnsi="Arial" w:cs="Arial"/>
          <w:color w:val="333333"/>
        </w:rPr>
        <w:t>各区县人民政府，各园区管委会，市级各部门（有关单位）：</w:t>
      </w:r>
    </w:p>
    <w:p w14:paraId="33C5BE14" w14:textId="77777777" w:rsidR="009904E8" w:rsidRDefault="009904E8" w:rsidP="003138D6">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《泸州市职工基本医疗保险门诊共济保障机制实施细则》已经市九届人民政府第</w:t>
      </w:r>
      <w:r>
        <w:rPr>
          <w:rFonts w:ascii="Arial" w:eastAsia="微软雅黑" w:hAnsi="Arial" w:cs="Arial"/>
          <w:color w:val="333333"/>
        </w:rPr>
        <w:t>13</w:t>
      </w:r>
      <w:r>
        <w:rPr>
          <w:rFonts w:ascii="Arial" w:eastAsia="微软雅黑" w:hAnsi="Arial" w:cs="Arial"/>
          <w:color w:val="333333"/>
        </w:rPr>
        <w:t>次常务会议审议通过。现印发给你们，请认真贯彻执行。</w:t>
      </w:r>
    </w:p>
    <w:p w14:paraId="4419D06B" w14:textId="77777777" w:rsidR="009904E8" w:rsidRDefault="009904E8" w:rsidP="00F80861">
      <w:pPr>
        <w:pStyle w:val="a3"/>
        <w:shd w:val="clear" w:color="auto" w:fill="FFFFFF"/>
        <w:spacing w:before="0" w:beforeAutospacing="0" w:after="0" w:afterAutospacing="0" w:line="560" w:lineRule="exact"/>
        <w:jc w:val="both"/>
        <w:rPr>
          <w:rFonts w:ascii="微软雅黑" w:eastAsia="微软雅黑" w:hAnsi="微软雅黑"/>
          <w:color w:val="333333"/>
        </w:rPr>
      </w:pPr>
      <w:r>
        <w:rPr>
          <w:rFonts w:ascii="Arial" w:eastAsia="微软雅黑" w:hAnsi="Arial" w:cs="Arial"/>
          <w:color w:val="333333"/>
        </w:rPr>
        <w:t> </w:t>
      </w:r>
    </w:p>
    <w:p w14:paraId="76179580" w14:textId="77777777" w:rsidR="009904E8" w:rsidRDefault="009904E8" w:rsidP="00F80861">
      <w:pPr>
        <w:pStyle w:val="a3"/>
        <w:shd w:val="clear" w:color="auto" w:fill="FFFFFF"/>
        <w:spacing w:before="0" w:beforeAutospacing="0" w:after="0" w:afterAutospacing="0" w:line="560" w:lineRule="exact"/>
        <w:ind w:firstLine="315"/>
        <w:jc w:val="right"/>
        <w:rPr>
          <w:rFonts w:ascii="微软雅黑" w:eastAsia="微软雅黑" w:hAnsi="微软雅黑"/>
          <w:color w:val="333333"/>
        </w:rPr>
      </w:pPr>
      <w:r>
        <w:rPr>
          <w:rFonts w:ascii="Arial" w:eastAsia="微软雅黑" w:hAnsi="Arial" w:cs="Arial"/>
          <w:color w:val="333333"/>
        </w:rPr>
        <w:t>                     </w:t>
      </w:r>
      <w:r>
        <w:rPr>
          <w:rFonts w:ascii="Arial" w:eastAsia="微软雅黑" w:hAnsi="Arial" w:cs="Arial"/>
          <w:color w:val="333333"/>
        </w:rPr>
        <w:t>泸州市人民政府办公室</w:t>
      </w:r>
    </w:p>
    <w:p w14:paraId="01CF4764" w14:textId="77777777" w:rsidR="009904E8" w:rsidRDefault="009904E8" w:rsidP="009904E8">
      <w:pPr>
        <w:pStyle w:val="a3"/>
        <w:shd w:val="clear" w:color="auto" w:fill="FFFFFF"/>
        <w:spacing w:before="0" w:beforeAutospacing="0" w:after="0" w:afterAutospacing="0" w:line="600" w:lineRule="atLeast"/>
        <w:jc w:val="right"/>
        <w:rPr>
          <w:rFonts w:ascii="微软雅黑" w:eastAsia="微软雅黑" w:hAnsi="微软雅黑"/>
          <w:color w:val="333333"/>
        </w:rPr>
      </w:pPr>
      <w:r>
        <w:rPr>
          <w:rFonts w:ascii="Arial" w:eastAsia="微软雅黑" w:hAnsi="Arial" w:cs="Arial"/>
          <w:color w:val="333333"/>
        </w:rPr>
        <w:t>                       2022</w:t>
      </w:r>
      <w:r>
        <w:rPr>
          <w:rFonts w:ascii="Arial" w:eastAsia="微软雅黑" w:hAnsi="Arial" w:cs="Arial"/>
          <w:color w:val="333333"/>
        </w:rPr>
        <w:t>年</w:t>
      </w:r>
      <w:r>
        <w:rPr>
          <w:rFonts w:ascii="Arial" w:eastAsia="微软雅黑" w:hAnsi="Arial" w:cs="Arial"/>
          <w:color w:val="333333"/>
        </w:rPr>
        <w:t>7</w:t>
      </w:r>
      <w:r>
        <w:rPr>
          <w:rFonts w:ascii="Arial" w:eastAsia="微软雅黑" w:hAnsi="Arial" w:cs="Arial"/>
          <w:color w:val="333333"/>
        </w:rPr>
        <w:t>月</w:t>
      </w:r>
      <w:r>
        <w:rPr>
          <w:rFonts w:ascii="Arial" w:eastAsia="微软雅黑" w:hAnsi="Arial" w:cs="Arial"/>
          <w:color w:val="333333"/>
        </w:rPr>
        <w:t>11</w:t>
      </w:r>
      <w:r>
        <w:rPr>
          <w:rFonts w:ascii="Arial" w:eastAsia="微软雅黑" w:hAnsi="Arial" w:cs="Arial"/>
          <w:color w:val="333333"/>
        </w:rPr>
        <w:t>日</w:t>
      </w:r>
    </w:p>
    <w:p w14:paraId="07F26C6C" w14:textId="77777777" w:rsidR="009904E8" w:rsidRDefault="009904E8" w:rsidP="009904E8">
      <w:pPr>
        <w:pStyle w:val="a3"/>
        <w:shd w:val="clear" w:color="auto" w:fill="FFFFFF"/>
        <w:spacing w:before="0" w:beforeAutospacing="0" w:after="0" w:afterAutospacing="0" w:line="600" w:lineRule="atLeast"/>
        <w:jc w:val="right"/>
        <w:rPr>
          <w:rFonts w:ascii="微软雅黑" w:eastAsia="微软雅黑" w:hAnsi="微软雅黑"/>
          <w:color w:val="333333"/>
        </w:rPr>
      </w:pPr>
      <w:r>
        <w:rPr>
          <w:rFonts w:ascii="Arial" w:eastAsia="微软雅黑" w:hAnsi="Arial" w:cs="Arial"/>
          <w:color w:val="333333"/>
        </w:rPr>
        <w:t> </w:t>
      </w:r>
    </w:p>
    <w:p w14:paraId="7A361B56"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rPr>
        <w:t> </w:t>
      </w:r>
    </w:p>
    <w:p w14:paraId="08C3BA9B"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rPr>
        <w:t>泸州市职工基本医疗保险门诊共济保障</w:t>
      </w:r>
    </w:p>
    <w:p w14:paraId="57DA8720"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rPr>
        <w:t>机制实施细则</w:t>
      </w:r>
    </w:p>
    <w:p w14:paraId="757EC704" w14:textId="77777777" w:rsidR="009904E8" w:rsidRDefault="009904E8" w:rsidP="009904E8">
      <w:pPr>
        <w:pStyle w:val="a3"/>
        <w:shd w:val="clear" w:color="auto" w:fill="FFFFFF"/>
        <w:spacing w:before="0" w:beforeAutospacing="0" w:after="0" w:afterAutospacing="0" w:line="600" w:lineRule="atLeast"/>
        <w:ind w:firstLine="645"/>
        <w:jc w:val="center"/>
        <w:rPr>
          <w:rFonts w:ascii="微软雅黑" w:eastAsia="微软雅黑" w:hAnsi="微软雅黑"/>
          <w:color w:val="333333"/>
        </w:rPr>
      </w:pPr>
      <w:r>
        <w:rPr>
          <w:rFonts w:ascii="Arial" w:eastAsia="微软雅黑" w:hAnsi="Arial" w:cs="Arial"/>
          <w:color w:val="333333"/>
        </w:rPr>
        <w:t> </w:t>
      </w:r>
    </w:p>
    <w:p w14:paraId="1BA5CFFA"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rPr>
        <w:t>第一章</w:t>
      </w:r>
      <w:r>
        <w:rPr>
          <w:rFonts w:ascii="Arial" w:eastAsia="微软雅黑" w:hAnsi="Arial" w:cs="Arial"/>
          <w:color w:val="333333"/>
        </w:rPr>
        <w:t> </w:t>
      </w:r>
      <w:r>
        <w:rPr>
          <w:rFonts w:ascii="Arial" w:eastAsia="微软雅黑" w:hAnsi="Arial" w:cs="Arial"/>
          <w:color w:val="333333"/>
        </w:rPr>
        <w:t>总</w:t>
      </w:r>
      <w:r>
        <w:rPr>
          <w:rFonts w:ascii="Arial" w:eastAsia="微软雅黑" w:hAnsi="Arial" w:cs="Arial"/>
          <w:color w:val="333333"/>
        </w:rPr>
        <w:t>  </w:t>
      </w:r>
      <w:r>
        <w:rPr>
          <w:rFonts w:ascii="Arial" w:eastAsia="微软雅黑" w:hAnsi="Arial" w:cs="Arial"/>
          <w:color w:val="333333"/>
        </w:rPr>
        <w:t>则</w:t>
      </w:r>
    </w:p>
    <w:p w14:paraId="43287679"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第一条</w:t>
      </w:r>
      <w:r>
        <w:rPr>
          <w:rFonts w:ascii="Arial" w:eastAsia="微软雅黑" w:hAnsi="Arial" w:cs="Arial"/>
          <w:color w:val="333333"/>
        </w:rPr>
        <w:t xml:space="preserve"> </w:t>
      </w:r>
      <w:r>
        <w:rPr>
          <w:rFonts w:ascii="Arial" w:eastAsia="微软雅黑" w:hAnsi="Arial" w:cs="Arial"/>
          <w:color w:val="333333"/>
        </w:rPr>
        <w:t>为进一步健全互助共济、责任共担的职工基本医疗保险（以下简称职工医保）制度，切实减轻参保职工门诊医疗费用负担，根据《四川省人民政府办公厅关于印发四川省建立健全职工基本医疗保险门诊共济保障机制实施办法的通知》（川办发〔</w:t>
      </w:r>
      <w:r>
        <w:rPr>
          <w:rFonts w:ascii="Arial" w:eastAsia="微软雅黑" w:hAnsi="Arial" w:cs="Arial"/>
          <w:color w:val="333333"/>
        </w:rPr>
        <w:t>2021</w:t>
      </w:r>
      <w:r>
        <w:rPr>
          <w:rFonts w:ascii="Arial" w:eastAsia="微软雅黑" w:hAnsi="Arial" w:cs="Arial"/>
          <w:color w:val="333333"/>
        </w:rPr>
        <w:t>〕</w:t>
      </w:r>
      <w:r>
        <w:rPr>
          <w:rFonts w:ascii="Arial" w:eastAsia="微软雅黑" w:hAnsi="Arial" w:cs="Arial"/>
          <w:color w:val="333333"/>
        </w:rPr>
        <w:t>85</w:t>
      </w:r>
      <w:r>
        <w:rPr>
          <w:rFonts w:ascii="Arial" w:eastAsia="微软雅黑" w:hAnsi="Arial" w:cs="Arial"/>
          <w:color w:val="333333"/>
        </w:rPr>
        <w:t>号）等精神，结合我市实际，制定本实施细则。</w:t>
      </w:r>
    </w:p>
    <w:p w14:paraId="0255D2D5"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lastRenderedPageBreak/>
        <w:t>第二条</w:t>
      </w:r>
      <w:r>
        <w:rPr>
          <w:rFonts w:ascii="Arial" w:eastAsia="微软雅黑" w:hAnsi="Arial" w:cs="Arial"/>
          <w:color w:val="333333"/>
        </w:rPr>
        <w:t xml:space="preserve"> </w:t>
      </w:r>
      <w:r>
        <w:rPr>
          <w:rFonts w:ascii="Arial" w:eastAsia="微软雅黑" w:hAnsi="Arial" w:cs="Arial"/>
          <w:color w:val="333333"/>
        </w:rPr>
        <w:t>以习近平新时代中国特色社会主义思想为指导，坚持统筹共济、保障基本、平稳过渡、政策连续原则，既尽力而为、又量力而行，将门诊费用纳入职工医保统筹基金支付范围，改革职工医保个人账户，建立健全门诊共济保障机制，提高医保基金使用效率，逐步减轻参保人员医疗费用负担，实现制度更加公平更可持续。</w:t>
      </w:r>
    </w:p>
    <w:p w14:paraId="3185E4CF"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第三条</w:t>
      </w:r>
      <w:r>
        <w:rPr>
          <w:rFonts w:ascii="Arial" w:eastAsia="微软雅黑" w:hAnsi="Arial" w:cs="Arial"/>
          <w:color w:val="333333"/>
        </w:rPr>
        <w:t xml:space="preserve"> </w:t>
      </w:r>
      <w:r>
        <w:rPr>
          <w:rFonts w:ascii="Arial" w:eastAsia="微软雅黑" w:hAnsi="Arial" w:cs="Arial"/>
          <w:color w:val="333333"/>
        </w:rPr>
        <w:t>按照市级统筹、分级管理、责任分担的原则，建立保障基本、统筹共济的职工医保门诊保障制度。各区县人民政府负责本辖区职工医保门诊共济保障制度的贯彻落实。市医疗保障行政部门负责我市职工医保门诊共济保障工作的统筹协调。各级医疗保障经办机构（以下简称医保经办机构）具体负责普通门诊统筹资金的筹集、管理和待遇审核、支付等工作。</w:t>
      </w:r>
    </w:p>
    <w:p w14:paraId="78A7B237"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第四条</w:t>
      </w:r>
      <w:r>
        <w:rPr>
          <w:rFonts w:ascii="Arial" w:eastAsia="微软雅黑" w:hAnsi="Arial" w:cs="Arial"/>
          <w:color w:val="333333"/>
        </w:rPr>
        <w:t> </w:t>
      </w:r>
      <w:r>
        <w:rPr>
          <w:rFonts w:ascii="Arial" w:eastAsia="微软雅黑" w:hAnsi="Arial" w:cs="Arial"/>
          <w:color w:val="333333"/>
        </w:rPr>
        <w:t>本实施细则适用于我市职工医保参保人员（含退休人员及灵活就业人员）。</w:t>
      </w:r>
    </w:p>
    <w:p w14:paraId="546CD0BB"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spacing w:val="15"/>
        </w:rPr>
        <w:t> </w:t>
      </w:r>
    </w:p>
    <w:p w14:paraId="6D906D5F"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spacing w:val="15"/>
        </w:rPr>
        <w:t>第二章</w:t>
      </w:r>
      <w:r>
        <w:rPr>
          <w:rFonts w:ascii="Arial" w:eastAsia="微软雅黑" w:hAnsi="Arial" w:cs="Arial"/>
          <w:color w:val="333333"/>
          <w:spacing w:val="15"/>
        </w:rPr>
        <w:t xml:space="preserve"> </w:t>
      </w:r>
      <w:r>
        <w:rPr>
          <w:rFonts w:ascii="Arial" w:eastAsia="微软雅黑" w:hAnsi="Arial" w:cs="Arial"/>
          <w:color w:val="333333"/>
          <w:spacing w:val="15"/>
        </w:rPr>
        <w:t>个人账户使用管理</w:t>
      </w:r>
    </w:p>
    <w:p w14:paraId="58C0D4BD"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第五条</w:t>
      </w:r>
      <w:r>
        <w:rPr>
          <w:rFonts w:ascii="Arial" w:eastAsia="微软雅黑" w:hAnsi="Arial" w:cs="Arial"/>
          <w:color w:val="333333"/>
        </w:rPr>
        <w:t xml:space="preserve"> </w:t>
      </w:r>
      <w:r>
        <w:rPr>
          <w:rFonts w:ascii="Arial" w:eastAsia="微软雅黑" w:hAnsi="Arial" w:cs="Arial"/>
          <w:color w:val="333333"/>
        </w:rPr>
        <w:t>改革职工医保参保人员个人账户计入办法。单位缴纳的基本医疗保险费全部计入统筹基金；按统账结合方式缴纳基本医疗保险费的灵活就业人员，其本人参保缴费基数的</w:t>
      </w:r>
      <w:r>
        <w:rPr>
          <w:rFonts w:ascii="Arial" w:eastAsia="微软雅黑" w:hAnsi="Arial" w:cs="Arial"/>
          <w:color w:val="333333"/>
        </w:rPr>
        <w:t>7%</w:t>
      </w:r>
      <w:r>
        <w:rPr>
          <w:rFonts w:ascii="Arial" w:eastAsia="微软雅黑" w:hAnsi="Arial" w:cs="Arial"/>
          <w:color w:val="333333"/>
        </w:rPr>
        <w:t>计入统筹基金；参加职工医保单建统筹的参保人员缴纳的基本医疗保险费全部计入统筹基金。</w:t>
      </w:r>
    </w:p>
    <w:p w14:paraId="78AE40FB"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（一）在职职工个人账户由个人缴纳的基本医疗保险费计入，计入标准为本人参保缴费基数的</w:t>
      </w:r>
      <w:r>
        <w:rPr>
          <w:rFonts w:ascii="Arial" w:eastAsia="微软雅黑" w:hAnsi="Arial" w:cs="Arial"/>
          <w:color w:val="333333"/>
        </w:rPr>
        <w:t>2%</w:t>
      </w:r>
      <w:r>
        <w:rPr>
          <w:rFonts w:ascii="Arial" w:eastAsia="微软雅黑" w:hAnsi="Arial" w:cs="Arial"/>
          <w:color w:val="333333"/>
        </w:rPr>
        <w:t>。</w:t>
      </w:r>
    </w:p>
    <w:p w14:paraId="4FFFD3B8"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lastRenderedPageBreak/>
        <w:t>（二）退休人员个人账户由统筹基金按定额划入，划入额度为</w:t>
      </w:r>
      <w:r>
        <w:rPr>
          <w:rFonts w:ascii="Arial" w:eastAsia="微软雅黑" w:hAnsi="Arial" w:cs="Arial"/>
          <w:color w:val="333333"/>
        </w:rPr>
        <w:t>2022</w:t>
      </w:r>
      <w:r>
        <w:rPr>
          <w:rFonts w:ascii="Arial" w:eastAsia="微软雅黑" w:hAnsi="Arial" w:cs="Arial"/>
          <w:color w:val="333333"/>
        </w:rPr>
        <w:t>年全市基本养老金平均水平的</w:t>
      </w:r>
      <w:r>
        <w:rPr>
          <w:rFonts w:ascii="Arial" w:eastAsia="微软雅黑" w:hAnsi="Arial" w:cs="Arial"/>
          <w:color w:val="333333"/>
        </w:rPr>
        <w:t>2.8%</w:t>
      </w:r>
      <w:r>
        <w:rPr>
          <w:rFonts w:ascii="Arial" w:eastAsia="微软雅黑" w:hAnsi="Arial" w:cs="Arial"/>
          <w:color w:val="333333"/>
        </w:rPr>
        <w:t>。在职转退休，从享受医保退休待遇起调整退休人员个人账户计入办法。</w:t>
      </w:r>
    </w:p>
    <w:p w14:paraId="246A2179"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（三）参加职工医保单建统筹的参保人员，不建立个人账户。</w:t>
      </w:r>
    </w:p>
    <w:p w14:paraId="1692DA74"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第六条</w:t>
      </w:r>
      <w:r>
        <w:rPr>
          <w:rFonts w:ascii="Arial" w:eastAsia="微软雅黑" w:hAnsi="Arial" w:cs="Arial"/>
          <w:color w:val="333333"/>
        </w:rPr>
        <w:t> </w:t>
      </w:r>
      <w:r>
        <w:rPr>
          <w:rFonts w:ascii="Arial" w:eastAsia="微软雅黑" w:hAnsi="Arial" w:cs="Arial"/>
          <w:color w:val="333333"/>
        </w:rPr>
        <w:t>职工医保个人账户使用范围包括：</w:t>
      </w:r>
    </w:p>
    <w:p w14:paraId="1AD35029"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（一）个人账户主要用于支付参保人员在定点医疗机构和定点零售药店发生的政策范围内自付费用。</w:t>
      </w:r>
    </w:p>
    <w:p w14:paraId="37B6FB54"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二）个人账户可以用于支付参保人员本人及其配偶、父母、子女在定点医疗机构就医发生的由个人负担的医疗费用，在定点零售药店购买药品、医疗器械、医用耗材发生的由个人负担的费用，参加城乡居民基本医疗保险、补充医疗保险、重特大疾病保险、长期护理保险等由政府开展的与医疗保障相关的社会保险的个人缴费。</w:t>
      </w:r>
    </w:p>
    <w:p w14:paraId="01D49578"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第七条</w:t>
      </w:r>
      <w:r>
        <w:rPr>
          <w:rFonts w:ascii="Arial" w:eastAsia="微软雅黑" w:hAnsi="Arial" w:cs="Arial"/>
          <w:color w:val="333333"/>
        </w:rPr>
        <w:t xml:space="preserve"> </w:t>
      </w:r>
      <w:r>
        <w:rPr>
          <w:rFonts w:ascii="Arial" w:eastAsia="微软雅黑" w:hAnsi="Arial" w:cs="Arial"/>
          <w:color w:val="333333"/>
        </w:rPr>
        <w:t>个人账户不得用于公共卫生费用、体育健身或养生保健消费等不属于基本医疗保险保障范围的支出。</w:t>
      </w:r>
    </w:p>
    <w:p w14:paraId="5376C8CD"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第八条</w:t>
      </w:r>
      <w:r>
        <w:rPr>
          <w:rFonts w:ascii="Arial" w:eastAsia="微软雅黑" w:hAnsi="Arial" w:cs="Arial"/>
          <w:color w:val="333333"/>
        </w:rPr>
        <w:t> </w:t>
      </w:r>
      <w:r>
        <w:rPr>
          <w:rFonts w:ascii="Arial" w:eastAsia="微软雅黑" w:hAnsi="Arial" w:cs="Arial"/>
          <w:color w:val="333333"/>
        </w:rPr>
        <w:t>个人账户本金和利息归个人所有，可以结转使用和依法继承。参保人员跨统筹地区流动就业的，个人账户随其医疗保险关系转移划转。职工医保参保人员死亡的，其个人账户余额依法继承，他人不得冒名使用已死亡人员的医保电子凭证或社会保障卡就医或购药。</w:t>
      </w:r>
    </w:p>
    <w:p w14:paraId="0F0240C3" w14:textId="77777777" w:rsidR="009904E8" w:rsidRDefault="009904E8" w:rsidP="009904E8">
      <w:pPr>
        <w:pStyle w:val="a3"/>
        <w:shd w:val="clear" w:color="auto" w:fill="FFFFFF"/>
        <w:spacing w:before="0" w:beforeAutospacing="0" w:after="0" w:afterAutospacing="0" w:line="600" w:lineRule="atLeast"/>
        <w:jc w:val="both"/>
        <w:rPr>
          <w:rFonts w:ascii="微软雅黑" w:eastAsia="微软雅黑" w:hAnsi="微软雅黑"/>
          <w:color w:val="333333"/>
        </w:rPr>
      </w:pPr>
      <w:r>
        <w:rPr>
          <w:rFonts w:ascii="Arial" w:eastAsia="微软雅黑" w:hAnsi="Arial" w:cs="Arial"/>
          <w:color w:val="333333"/>
          <w:spacing w:val="15"/>
        </w:rPr>
        <w:t> </w:t>
      </w:r>
    </w:p>
    <w:p w14:paraId="647B2C9D" w14:textId="77777777" w:rsidR="009904E8" w:rsidRDefault="009904E8" w:rsidP="009904E8">
      <w:pPr>
        <w:pStyle w:val="a3"/>
        <w:shd w:val="clear" w:color="auto" w:fill="FFFFFF"/>
        <w:spacing w:before="0" w:beforeAutospacing="0" w:after="0" w:afterAutospacing="0" w:line="600" w:lineRule="atLeast"/>
        <w:ind w:firstLine="2100"/>
        <w:jc w:val="both"/>
        <w:rPr>
          <w:rFonts w:ascii="微软雅黑" w:eastAsia="微软雅黑" w:hAnsi="微软雅黑"/>
          <w:color w:val="333333"/>
        </w:rPr>
      </w:pPr>
      <w:r>
        <w:rPr>
          <w:rFonts w:ascii="Arial" w:eastAsia="微软雅黑" w:hAnsi="Arial" w:cs="Arial"/>
          <w:color w:val="333333"/>
          <w:spacing w:val="15"/>
        </w:rPr>
        <w:t>第三章</w:t>
      </w:r>
      <w:r>
        <w:rPr>
          <w:rFonts w:ascii="Arial" w:eastAsia="微软雅黑" w:hAnsi="Arial" w:cs="Arial"/>
          <w:color w:val="333333"/>
          <w:spacing w:val="15"/>
        </w:rPr>
        <w:t xml:space="preserve"> </w:t>
      </w:r>
      <w:r>
        <w:rPr>
          <w:rFonts w:ascii="Arial" w:eastAsia="微软雅黑" w:hAnsi="Arial" w:cs="Arial"/>
          <w:color w:val="333333"/>
          <w:spacing w:val="15"/>
        </w:rPr>
        <w:t>门诊共济保障制度</w:t>
      </w:r>
    </w:p>
    <w:p w14:paraId="646B7094"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lastRenderedPageBreak/>
        <w:t>第九条</w:t>
      </w:r>
      <w:r>
        <w:rPr>
          <w:rFonts w:ascii="Arial" w:eastAsia="微软雅黑" w:hAnsi="Arial" w:cs="Arial"/>
          <w:color w:val="333333"/>
        </w:rPr>
        <w:t xml:space="preserve"> </w:t>
      </w:r>
      <w:r>
        <w:rPr>
          <w:rFonts w:ascii="Arial" w:eastAsia="微软雅黑" w:hAnsi="Arial" w:cs="Arial"/>
          <w:color w:val="333333"/>
        </w:rPr>
        <w:t>增强门诊共济保障功能。在做好门诊特殊疾病医疗保障工作的基础上，将多发病、常见病的普通门诊费用纳入统筹基金支付范围，建立健全门诊共济保障机制。调整职工医保统筹基金和个人账户结构，调整后增加的统筹基金主要用于门诊共济保障，提高参保人员门诊待遇。</w:t>
      </w:r>
    </w:p>
    <w:p w14:paraId="08CACD0A"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第十条</w:t>
      </w:r>
      <w:r>
        <w:rPr>
          <w:rFonts w:ascii="Arial" w:eastAsia="微软雅黑" w:hAnsi="Arial" w:cs="Arial"/>
          <w:color w:val="333333"/>
        </w:rPr>
        <w:t> </w:t>
      </w:r>
      <w:r>
        <w:rPr>
          <w:rFonts w:ascii="Arial" w:eastAsia="微软雅黑" w:hAnsi="Arial" w:cs="Arial"/>
          <w:color w:val="333333"/>
        </w:rPr>
        <w:t>参加职工医保并在待遇享受期内的人员，按规定享受职工医保普通门诊费用统筹（以下简称职工门诊统筹）保障待遇。</w:t>
      </w:r>
      <w:r>
        <w:rPr>
          <w:rFonts w:ascii="Arial" w:eastAsia="微软雅黑" w:hAnsi="Arial" w:cs="Arial"/>
          <w:color w:val="333333"/>
        </w:rPr>
        <w:t> </w:t>
      </w:r>
    </w:p>
    <w:p w14:paraId="6728A1FE"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第十一条</w:t>
      </w:r>
      <w:r>
        <w:rPr>
          <w:rFonts w:ascii="Arial" w:eastAsia="微软雅黑" w:hAnsi="Arial" w:cs="Arial"/>
          <w:color w:val="333333"/>
        </w:rPr>
        <w:t xml:space="preserve"> </w:t>
      </w:r>
      <w:r>
        <w:rPr>
          <w:rFonts w:ascii="Arial" w:eastAsia="微软雅黑" w:hAnsi="Arial" w:cs="Arial"/>
          <w:color w:val="333333"/>
        </w:rPr>
        <w:t>职工门诊统筹基金支付范围。职工一个自然年度内在定点医疗机构普通门诊发生的符合基本医疗保险药品目录、诊疗项目目录、医疗服务设施标准范围（以下简称医保目录）以及在符合条件的定点零售药店的政策范围内购药费用，纳入职工门诊统筹基金支付范围。在非医保定点医药机构和统筹区内未纳入门诊共济保障服务范围的定点医药机构发生的门诊医疗费用、购药费用（急诊、抢救除外）医保基金不予支付。</w:t>
      </w:r>
    </w:p>
    <w:p w14:paraId="1CDB714E"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第十二条</w:t>
      </w:r>
      <w:r>
        <w:rPr>
          <w:rFonts w:ascii="Arial" w:eastAsia="微软雅黑" w:hAnsi="Arial" w:cs="Arial"/>
          <w:color w:val="333333"/>
        </w:rPr>
        <w:t> </w:t>
      </w:r>
      <w:r>
        <w:rPr>
          <w:rFonts w:ascii="Arial" w:eastAsia="微软雅黑" w:hAnsi="Arial" w:cs="Arial"/>
          <w:color w:val="333333"/>
        </w:rPr>
        <w:t>职工门诊统筹待遇标准。</w:t>
      </w:r>
    </w:p>
    <w:p w14:paraId="2996839F"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（一）参加统账结合人员的职工门诊统筹待遇标准。按年度设起付线，一个自然年度内，在职职工起付线</w:t>
      </w:r>
      <w:r>
        <w:rPr>
          <w:rFonts w:ascii="Arial" w:eastAsia="微软雅黑" w:hAnsi="Arial" w:cs="Arial"/>
          <w:color w:val="333333"/>
        </w:rPr>
        <w:t>200</w:t>
      </w:r>
      <w:r>
        <w:rPr>
          <w:rFonts w:ascii="Arial" w:eastAsia="微软雅黑" w:hAnsi="Arial" w:cs="Arial"/>
          <w:color w:val="333333"/>
        </w:rPr>
        <w:t>元、退休人员</w:t>
      </w:r>
      <w:r>
        <w:rPr>
          <w:rFonts w:ascii="Arial" w:eastAsia="微软雅黑" w:hAnsi="Arial" w:cs="Arial"/>
          <w:color w:val="333333"/>
        </w:rPr>
        <w:t>150</w:t>
      </w:r>
      <w:r>
        <w:rPr>
          <w:rFonts w:ascii="Arial" w:eastAsia="微软雅黑" w:hAnsi="Arial" w:cs="Arial"/>
          <w:color w:val="333333"/>
        </w:rPr>
        <w:t>元；支付比例为三级定点医疗机构和定点零售药店</w:t>
      </w:r>
      <w:r>
        <w:rPr>
          <w:rFonts w:ascii="Arial" w:eastAsia="微软雅黑" w:hAnsi="Arial" w:cs="Arial"/>
          <w:color w:val="333333"/>
        </w:rPr>
        <w:t>50%</w:t>
      </w:r>
      <w:r>
        <w:rPr>
          <w:rFonts w:ascii="Arial" w:eastAsia="微软雅黑" w:hAnsi="Arial" w:cs="Arial"/>
          <w:color w:val="333333"/>
        </w:rPr>
        <w:t>、二级及以下定点医疗机构</w:t>
      </w:r>
      <w:r>
        <w:rPr>
          <w:rFonts w:ascii="Arial" w:eastAsia="微软雅黑" w:hAnsi="Arial" w:cs="Arial"/>
          <w:color w:val="333333"/>
        </w:rPr>
        <w:t>60%</w:t>
      </w:r>
      <w:r>
        <w:rPr>
          <w:rFonts w:ascii="Arial" w:eastAsia="微软雅黑" w:hAnsi="Arial" w:cs="Arial"/>
          <w:color w:val="333333"/>
        </w:rPr>
        <w:t>，退休人员在上述相应支付比例基础上增加</w:t>
      </w:r>
      <w:r>
        <w:rPr>
          <w:rFonts w:ascii="Arial" w:eastAsia="微软雅黑" w:hAnsi="Arial" w:cs="Arial"/>
          <w:color w:val="333333"/>
        </w:rPr>
        <w:t>10</w:t>
      </w:r>
      <w:r>
        <w:rPr>
          <w:rFonts w:ascii="Arial" w:eastAsia="微软雅黑" w:hAnsi="Arial" w:cs="Arial"/>
          <w:color w:val="333333"/>
        </w:rPr>
        <w:t>个百分点；在职人员和退休人员年度支付限额分别为</w:t>
      </w:r>
      <w:r>
        <w:rPr>
          <w:rFonts w:ascii="Arial" w:eastAsia="微软雅黑" w:hAnsi="Arial" w:cs="Arial"/>
          <w:color w:val="333333"/>
        </w:rPr>
        <w:t>800</w:t>
      </w:r>
      <w:r>
        <w:rPr>
          <w:rFonts w:ascii="Arial" w:eastAsia="微软雅黑" w:hAnsi="Arial" w:cs="Arial"/>
          <w:color w:val="333333"/>
        </w:rPr>
        <w:t>元和</w:t>
      </w:r>
      <w:r>
        <w:rPr>
          <w:rFonts w:ascii="Arial" w:eastAsia="微软雅黑" w:hAnsi="Arial" w:cs="Arial"/>
          <w:color w:val="333333"/>
        </w:rPr>
        <w:t>1000</w:t>
      </w:r>
      <w:r>
        <w:rPr>
          <w:rFonts w:ascii="Arial" w:eastAsia="微软雅黑" w:hAnsi="Arial" w:cs="Arial"/>
          <w:color w:val="333333"/>
        </w:rPr>
        <w:t>元。</w:t>
      </w:r>
    </w:p>
    <w:p w14:paraId="0E442CC7"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lastRenderedPageBreak/>
        <w:t>（二）参加单建统筹人员的职工门诊统筹待遇标准。按年度设起付线，一个自然年度内起付线为</w:t>
      </w:r>
      <w:r>
        <w:rPr>
          <w:rFonts w:ascii="Arial" w:eastAsia="微软雅黑" w:hAnsi="Arial" w:cs="Arial"/>
          <w:color w:val="333333"/>
        </w:rPr>
        <w:t>200</w:t>
      </w:r>
      <w:r>
        <w:rPr>
          <w:rFonts w:ascii="Arial" w:eastAsia="微软雅黑" w:hAnsi="Arial" w:cs="Arial"/>
          <w:color w:val="333333"/>
        </w:rPr>
        <w:t>元；支付比例为三级定点医疗机构和定点零售药店</w:t>
      </w:r>
      <w:r>
        <w:rPr>
          <w:rFonts w:ascii="Arial" w:eastAsia="微软雅黑" w:hAnsi="Arial" w:cs="Arial"/>
          <w:color w:val="333333"/>
        </w:rPr>
        <w:t>50%</w:t>
      </w:r>
      <w:r>
        <w:rPr>
          <w:rFonts w:ascii="Arial" w:eastAsia="微软雅黑" w:hAnsi="Arial" w:cs="Arial"/>
          <w:color w:val="333333"/>
        </w:rPr>
        <w:t>、二级及以下定点医疗机构</w:t>
      </w:r>
      <w:r>
        <w:rPr>
          <w:rFonts w:ascii="Arial" w:eastAsia="微软雅黑" w:hAnsi="Arial" w:cs="Arial"/>
          <w:color w:val="333333"/>
        </w:rPr>
        <w:t>60%</w:t>
      </w:r>
      <w:r>
        <w:rPr>
          <w:rFonts w:ascii="Arial" w:eastAsia="微软雅黑" w:hAnsi="Arial" w:cs="Arial"/>
          <w:color w:val="333333"/>
        </w:rPr>
        <w:t>；年度支付限额为</w:t>
      </w:r>
      <w:r>
        <w:rPr>
          <w:rFonts w:ascii="Arial" w:eastAsia="微软雅黑" w:hAnsi="Arial" w:cs="Arial"/>
          <w:color w:val="333333"/>
        </w:rPr>
        <w:t>400</w:t>
      </w:r>
      <w:r>
        <w:rPr>
          <w:rFonts w:ascii="Arial" w:eastAsia="微软雅黑" w:hAnsi="Arial" w:cs="Arial"/>
          <w:color w:val="333333"/>
        </w:rPr>
        <w:t>元。</w:t>
      </w:r>
    </w:p>
    <w:p w14:paraId="687682BE"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（三）参保职工在我市以外其他统筹区就诊或购药时，职工门诊统筹起付线、报销比例、基金支付限额等与统筹区内一致。</w:t>
      </w:r>
    </w:p>
    <w:p w14:paraId="2582928F"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（四）参保人员办理基本医疗保险关系在职转退休，从享受职工医保退休待遇起，享受退休职工门诊统筹的报销比例和起付线，年度支付限额最高不超过</w:t>
      </w:r>
      <w:r>
        <w:rPr>
          <w:rFonts w:ascii="Arial" w:eastAsia="微软雅黑" w:hAnsi="Arial" w:cs="Arial"/>
          <w:color w:val="333333"/>
        </w:rPr>
        <w:t>1000</w:t>
      </w:r>
      <w:r>
        <w:rPr>
          <w:rFonts w:ascii="Arial" w:eastAsia="微软雅黑" w:hAnsi="Arial" w:cs="Arial"/>
          <w:color w:val="333333"/>
        </w:rPr>
        <w:t>元。</w:t>
      </w:r>
    </w:p>
    <w:p w14:paraId="1D3D4221"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第十三条</w:t>
      </w:r>
      <w:r>
        <w:rPr>
          <w:rFonts w:ascii="Arial" w:eastAsia="微软雅黑" w:hAnsi="Arial" w:cs="Arial"/>
          <w:color w:val="333333"/>
        </w:rPr>
        <w:t> </w:t>
      </w:r>
      <w:r>
        <w:rPr>
          <w:rFonts w:ascii="Arial" w:eastAsia="微软雅黑" w:hAnsi="Arial" w:cs="Arial"/>
          <w:color w:val="333333"/>
        </w:rPr>
        <w:t>参加职工医保并采取药物治疗的高血压﹑糖尿病（以下简称</w:t>
      </w: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）患者，其认定标准、用药范围、保障水平、管理服务等与城乡居民</w:t>
      </w: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门诊用药保障保持一致。</w:t>
      </w:r>
    </w:p>
    <w:p w14:paraId="521EBF15"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患者符合门诊特殊疾病标准的，纳入门诊特殊疾病管理范围，执行门诊特殊疾病政策，不得重复享受待遇。</w:t>
      </w:r>
    </w:p>
    <w:p w14:paraId="00957355"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第十四条</w:t>
      </w:r>
      <w:r>
        <w:rPr>
          <w:rFonts w:ascii="Arial" w:eastAsia="微软雅黑" w:hAnsi="Arial" w:cs="Arial"/>
          <w:color w:val="333333"/>
        </w:rPr>
        <w:t> </w:t>
      </w:r>
      <w:r>
        <w:rPr>
          <w:rFonts w:ascii="Arial" w:eastAsia="微软雅黑" w:hAnsi="Arial" w:cs="Arial"/>
          <w:color w:val="333333"/>
        </w:rPr>
        <w:t>完善门诊特殊疾病政策。根据医保基金承受能力，确定门诊特殊疾病病种，逐步扩大由统筹基金支付的门诊特殊疾病病种范围，并使用全省统一的病种名称、认定标准等。门诊特殊疾病的起付标准、支付限额、支付比例、支付范围等按我市现行政策执行，由市医保局和市财政局根据基金运行情况实行动态调整。若国家和省有新的规定，则从其规定。</w:t>
      </w:r>
    </w:p>
    <w:p w14:paraId="00762A2C"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第十五条</w:t>
      </w:r>
      <w:r>
        <w:rPr>
          <w:rFonts w:ascii="Arial" w:eastAsia="微软雅黑" w:hAnsi="Arial" w:cs="Arial"/>
          <w:color w:val="333333"/>
        </w:rPr>
        <w:t> </w:t>
      </w:r>
      <w:r>
        <w:rPr>
          <w:rFonts w:ascii="Arial" w:eastAsia="微软雅黑" w:hAnsi="Arial" w:cs="Arial"/>
          <w:color w:val="333333"/>
        </w:rPr>
        <w:t>门诊共济保障方式主要包括职工门诊统筹保障、</w:t>
      </w: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门诊用药保障、门诊特殊疾病保障等。做好职工门诊统筹与职工</w:t>
      </w: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门诊用药保障、门诊特殊疾病</w:t>
      </w:r>
      <w:r>
        <w:rPr>
          <w:rFonts w:ascii="Arial" w:eastAsia="微软雅黑" w:hAnsi="Arial" w:cs="Arial"/>
          <w:color w:val="333333"/>
        </w:rPr>
        <w:lastRenderedPageBreak/>
        <w:t>保障、住院费用支付政策的衔接。按门诊特殊疾病、职工</w:t>
      </w:r>
      <w:r>
        <w:rPr>
          <w:rFonts w:ascii="Arial" w:eastAsia="微软雅黑" w:hAnsi="Arial" w:cs="Arial"/>
          <w:color w:val="333333"/>
        </w:rPr>
        <w:t>“</w:t>
      </w:r>
      <w:r>
        <w:rPr>
          <w:rFonts w:ascii="Arial" w:eastAsia="微软雅黑" w:hAnsi="Arial" w:cs="Arial"/>
          <w:color w:val="333333"/>
        </w:rPr>
        <w:t>两病</w:t>
      </w:r>
      <w:r>
        <w:rPr>
          <w:rFonts w:ascii="Arial" w:eastAsia="微软雅黑" w:hAnsi="Arial" w:cs="Arial"/>
          <w:color w:val="333333"/>
        </w:rPr>
        <w:t>”</w:t>
      </w:r>
      <w:r>
        <w:rPr>
          <w:rFonts w:ascii="Arial" w:eastAsia="微软雅黑" w:hAnsi="Arial" w:cs="Arial"/>
          <w:color w:val="333333"/>
        </w:rPr>
        <w:t>门诊用药保障等政策规定，应由参保人员个人自付的医疗费用不再纳入职工门诊统筹保障支付范围。</w:t>
      </w:r>
    </w:p>
    <w:p w14:paraId="503C867E"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职工门诊统筹年度支付限额在当年度使用，不能结转到下一年度，不能转让他人使用。职工门诊统筹年度支付总金额计入职工医保年度最高支付限额。</w:t>
      </w:r>
    </w:p>
    <w:p w14:paraId="3D007111"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第十六条</w:t>
      </w:r>
      <w:r>
        <w:rPr>
          <w:rFonts w:ascii="Arial" w:eastAsia="微软雅黑" w:hAnsi="Arial" w:cs="Arial"/>
          <w:color w:val="333333"/>
        </w:rPr>
        <w:t xml:space="preserve"> </w:t>
      </w:r>
      <w:r>
        <w:rPr>
          <w:rFonts w:ascii="Arial" w:eastAsia="微软雅黑" w:hAnsi="Arial" w:cs="Arial"/>
          <w:color w:val="333333"/>
        </w:rPr>
        <w:t>参保人在具备直接结算条件的医保定点医药机构门诊就医、购药的，应持社会保障卡或医保电子凭证直接结算，参保人员按规定只需支付个人负担部分费用，医保基金支付部分由医保经办机构与定点医药机构定期结算。</w:t>
      </w:r>
    </w:p>
    <w:p w14:paraId="54FE69DF"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进一步完善普通门诊、门诊特殊疾病异地就医直接结算管理服务工作机制，切实保障参保人员异地就医权益。</w:t>
      </w:r>
    </w:p>
    <w:p w14:paraId="3F3081E7" w14:textId="77777777" w:rsidR="009904E8" w:rsidRDefault="009904E8" w:rsidP="009904E8">
      <w:pPr>
        <w:pStyle w:val="a3"/>
        <w:shd w:val="clear" w:color="auto" w:fill="FFFFFF"/>
        <w:spacing w:before="0" w:beforeAutospacing="0" w:after="0" w:afterAutospacing="0" w:line="600" w:lineRule="atLeast"/>
        <w:jc w:val="both"/>
        <w:rPr>
          <w:rFonts w:ascii="微软雅黑" w:eastAsia="微软雅黑" w:hAnsi="微软雅黑"/>
          <w:color w:val="333333"/>
        </w:rPr>
      </w:pPr>
      <w:r>
        <w:rPr>
          <w:rFonts w:ascii="Arial" w:eastAsia="微软雅黑" w:hAnsi="Arial" w:cs="Arial"/>
          <w:color w:val="333333"/>
          <w:spacing w:val="15"/>
        </w:rPr>
        <w:t> </w:t>
      </w:r>
    </w:p>
    <w:p w14:paraId="42F4585B" w14:textId="77777777" w:rsidR="009904E8" w:rsidRDefault="009904E8" w:rsidP="009904E8">
      <w:pPr>
        <w:pStyle w:val="a3"/>
        <w:shd w:val="clear" w:color="auto" w:fill="FFFFFF"/>
        <w:spacing w:before="0" w:beforeAutospacing="0" w:after="0" w:afterAutospacing="0" w:line="600" w:lineRule="atLeast"/>
        <w:jc w:val="center"/>
        <w:rPr>
          <w:rFonts w:ascii="微软雅黑" w:eastAsia="微软雅黑" w:hAnsi="微软雅黑"/>
          <w:color w:val="333333"/>
        </w:rPr>
      </w:pPr>
      <w:r>
        <w:rPr>
          <w:rFonts w:ascii="Arial" w:eastAsia="微软雅黑" w:hAnsi="Arial" w:cs="Arial"/>
          <w:color w:val="333333"/>
          <w:spacing w:val="15"/>
        </w:rPr>
        <w:t>第四章</w:t>
      </w:r>
      <w:r>
        <w:rPr>
          <w:rFonts w:ascii="Arial" w:eastAsia="微软雅黑" w:hAnsi="Arial" w:cs="Arial"/>
          <w:color w:val="333333"/>
        </w:rPr>
        <w:t> </w:t>
      </w:r>
      <w:r>
        <w:rPr>
          <w:rFonts w:ascii="Arial" w:eastAsia="微软雅黑" w:hAnsi="Arial" w:cs="Arial"/>
          <w:color w:val="333333"/>
          <w:spacing w:val="15"/>
        </w:rPr>
        <w:t>管理与监督</w:t>
      </w:r>
    </w:p>
    <w:p w14:paraId="32EE61F1"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第十七条</w:t>
      </w:r>
      <w:r>
        <w:rPr>
          <w:rFonts w:ascii="Arial" w:eastAsia="微软雅黑" w:hAnsi="Arial" w:cs="Arial"/>
          <w:color w:val="333333"/>
        </w:rPr>
        <w:t xml:space="preserve"> </w:t>
      </w:r>
      <w:r>
        <w:rPr>
          <w:rFonts w:ascii="Arial" w:eastAsia="微软雅黑" w:hAnsi="Arial" w:cs="Arial"/>
          <w:color w:val="333333"/>
        </w:rPr>
        <w:t>拓展普通门诊统筹保障服务范围，将资质合规、管理规范、信誉良好、布局合理，进销存管理系统与医保系统对接、且满足对所售药品实现符合药品管理法计算机追溯体系等条件的定点零售药店提供的用药保障服务纳入职工门诊统筹保障服务范围，支持外配处方在定点零售药店结算和配药，充分发挥定点零售药店便民、可及的作用。探索将符合条件的</w:t>
      </w:r>
      <w:r>
        <w:rPr>
          <w:rFonts w:ascii="Arial" w:eastAsia="微软雅黑" w:hAnsi="Arial" w:cs="Arial"/>
          <w:color w:val="333333"/>
        </w:rPr>
        <w:t>“</w:t>
      </w:r>
      <w:r>
        <w:rPr>
          <w:rFonts w:ascii="Arial" w:eastAsia="微软雅黑" w:hAnsi="Arial" w:cs="Arial"/>
          <w:color w:val="333333"/>
        </w:rPr>
        <w:t>互联网</w:t>
      </w:r>
      <w:r>
        <w:rPr>
          <w:rFonts w:ascii="Arial" w:eastAsia="微软雅黑" w:hAnsi="Arial" w:cs="Arial"/>
          <w:color w:val="333333"/>
        </w:rPr>
        <w:t>+”</w:t>
      </w:r>
      <w:r>
        <w:rPr>
          <w:rFonts w:ascii="Arial" w:eastAsia="微软雅黑" w:hAnsi="Arial" w:cs="Arial"/>
          <w:color w:val="333333"/>
        </w:rPr>
        <w:t>医疗服务纳入保障范围。</w:t>
      </w:r>
    </w:p>
    <w:p w14:paraId="7E302DF1"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第十八条</w:t>
      </w:r>
      <w:r>
        <w:rPr>
          <w:rFonts w:ascii="Arial" w:eastAsia="微软雅黑" w:hAnsi="Arial" w:cs="Arial"/>
          <w:color w:val="333333"/>
        </w:rPr>
        <w:t> </w:t>
      </w:r>
      <w:r>
        <w:rPr>
          <w:rFonts w:ascii="Arial" w:eastAsia="微软雅黑" w:hAnsi="Arial" w:cs="Arial"/>
          <w:color w:val="333333"/>
        </w:rPr>
        <w:t>建立个人账户全流程动态管理机制。</w:t>
      </w:r>
    </w:p>
    <w:p w14:paraId="195F7D20"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（一）进一步完善个人账户管理办法，严格执行基金收支预算管理，做好收支信息统计，监测职工门诊统筹基金运行情况。</w:t>
      </w:r>
    </w:p>
    <w:p w14:paraId="7F4FF0CA"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lastRenderedPageBreak/>
        <w:t>（二）加强对个人账户使用、结算、支付等环节的审核，对参保缴费进行稽核，对待遇审核、基金使用、费用结算等环节进行内部控制监督检查，实现对个人账户全流程动态管理，确保基金平稳运行。</w:t>
      </w:r>
      <w:r>
        <w:rPr>
          <w:rFonts w:ascii="Arial" w:eastAsia="微软雅黑" w:hAnsi="Arial" w:cs="Arial"/>
          <w:color w:val="333333"/>
        </w:rPr>
        <w:t xml:space="preserve">  </w:t>
      </w:r>
    </w:p>
    <w:p w14:paraId="38D5701E"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（三）建立健全基金管理内控制度，完善经办和稽核、会计和出纳、业务和财务、信息和业务等不相容岗位相互制约机制，完善医保、财政、税务三方定期对账机制，防范化解内部监管风险。</w:t>
      </w:r>
    </w:p>
    <w:p w14:paraId="6F3AF6C1"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第十九条</w:t>
      </w:r>
      <w:r>
        <w:rPr>
          <w:rFonts w:ascii="Arial" w:eastAsia="微软雅黑" w:hAnsi="Arial" w:cs="Arial"/>
          <w:color w:val="333333"/>
        </w:rPr>
        <w:t xml:space="preserve"> </w:t>
      </w:r>
      <w:r>
        <w:rPr>
          <w:rFonts w:ascii="Arial" w:eastAsia="微软雅黑" w:hAnsi="Arial" w:cs="Arial"/>
          <w:color w:val="333333"/>
        </w:rPr>
        <w:t>完善管理服务措施，有效引导医疗资源进一步合理利用。通过协同推动基层医疗服务体系建设，完善分级诊疗和家庭医生签约服务，规范长期处方管理，引导参保人员在基层就医首诊。结合完善门诊特殊疾病管理措施，规范基层医疗机构诊疗及转诊等行为。</w:t>
      </w:r>
    </w:p>
    <w:p w14:paraId="44192B5F"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第二十条</w:t>
      </w:r>
      <w:r>
        <w:rPr>
          <w:rFonts w:ascii="Arial" w:eastAsia="微软雅黑" w:hAnsi="Arial" w:cs="Arial"/>
          <w:color w:val="333333"/>
        </w:rPr>
        <w:t xml:space="preserve"> </w:t>
      </w:r>
      <w:r>
        <w:rPr>
          <w:rFonts w:ascii="Arial" w:eastAsia="微软雅黑" w:hAnsi="Arial" w:cs="Arial"/>
          <w:color w:val="333333"/>
        </w:rPr>
        <w:t>强化定点医药机构协议管理。将优先使用医保目录药品（诊疗项目）、控制自费比例、严禁诱导院外购药、定点零售药店药品售价不高于在四川省药械集中采购及医药价格监管平台上同产品的挂网价格等要求纳入协议管理，强化协议条款及指标约束作用，健全医疗服务监控、分析和考核体系，引导定点医药机构规范提供诊疗和用药保障服务。</w:t>
      </w:r>
    </w:p>
    <w:p w14:paraId="14A1ACA9"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将使用医保基金情况纳入医保信用管理，发挥基金监管的激励和约束作用。</w:t>
      </w:r>
    </w:p>
    <w:p w14:paraId="19699E5F"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第二十一条</w:t>
      </w:r>
      <w:r>
        <w:rPr>
          <w:rFonts w:ascii="Arial" w:eastAsia="微软雅黑" w:hAnsi="Arial" w:cs="Arial"/>
          <w:color w:val="333333"/>
        </w:rPr>
        <w:t> </w:t>
      </w:r>
      <w:r>
        <w:rPr>
          <w:rFonts w:ascii="Arial" w:eastAsia="微软雅黑" w:hAnsi="Arial" w:cs="Arial"/>
          <w:color w:val="333333"/>
        </w:rPr>
        <w:t>建立健全医保基金安全防控机制。</w:t>
      </w:r>
    </w:p>
    <w:p w14:paraId="03ED673A"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一）严格贯彻落实《医疗保障基金使用监督管理条例》，全面加强对定点医药机构医疗服务行为、药品及医用耗材进销存等的监督和管理，实现医保基金全领域、全流程、全方位监管。推进基金监管常态化、制度化、精细化，加强对定点医</w:t>
      </w:r>
      <w:r>
        <w:rPr>
          <w:rFonts w:ascii="Arial" w:eastAsia="微软雅黑" w:hAnsi="Arial" w:cs="Arial"/>
          <w:color w:val="333333"/>
        </w:rPr>
        <w:lastRenderedPageBreak/>
        <w:t>药机构购销存监管，纳入门诊共济保障服务范围的定点零售药店应当定期向医保经办机构报告流转处方、药品进销存台账和财务核算账目，以实现基金监管向</w:t>
      </w:r>
      <w:r>
        <w:rPr>
          <w:rFonts w:ascii="Arial" w:eastAsia="微软雅黑" w:hAnsi="Arial" w:cs="Arial"/>
          <w:color w:val="333333"/>
        </w:rPr>
        <w:t>“</w:t>
      </w:r>
      <w:r>
        <w:rPr>
          <w:rFonts w:ascii="Arial" w:eastAsia="微软雅黑" w:hAnsi="Arial" w:cs="Arial"/>
          <w:color w:val="333333"/>
        </w:rPr>
        <w:t>管服务、管技术、管价格</w:t>
      </w:r>
      <w:r>
        <w:rPr>
          <w:rFonts w:ascii="Arial" w:eastAsia="微软雅黑" w:hAnsi="Arial" w:cs="Arial"/>
          <w:color w:val="333333"/>
        </w:rPr>
        <w:t>”</w:t>
      </w:r>
      <w:r>
        <w:rPr>
          <w:rFonts w:ascii="Arial" w:eastAsia="微软雅黑" w:hAnsi="Arial" w:cs="Arial"/>
          <w:color w:val="333333"/>
        </w:rPr>
        <w:t>转变。</w:t>
      </w:r>
    </w:p>
    <w:p w14:paraId="459DBED6"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二）压实医药机构主体责任、卫生健康部门行业主管责任、医保部门监管责任、区县人民政府属地责任，落实卫生健康、公安、市场监管、审计等有关部门协同监管责任，严肃查处定点医药机构、参保人员、医保经办机构违法违规行为。</w:t>
      </w:r>
    </w:p>
    <w:p w14:paraId="4FAEFC5F"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（三）加强门诊医疗费用医保大数据智能监控，重点查处医药机构过度诊疗、不合理用药、个人账户套现、冒名就医购药、伪造医疗文书或票据等欺诈骗保违法违规行为，确保基金安全高效、合理使用。</w:t>
      </w:r>
    </w:p>
    <w:p w14:paraId="0714A02E"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第二十二条</w:t>
      </w:r>
      <w:r>
        <w:rPr>
          <w:rFonts w:ascii="Arial" w:eastAsia="微软雅黑" w:hAnsi="Arial" w:cs="Arial"/>
          <w:color w:val="333333"/>
        </w:rPr>
        <w:t> </w:t>
      </w:r>
      <w:r>
        <w:rPr>
          <w:rFonts w:ascii="Arial" w:eastAsia="微软雅黑" w:hAnsi="Arial" w:cs="Arial"/>
          <w:color w:val="333333"/>
        </w:rPr>
        <w:t>完善与门诊共济保障相适应的付费机制，加强门诊医药费用数据采集和分析应用。对基层医疗服务可按人头付费，积极探索将按人头付费与慢性病管理相结合；对日间手术及符合条件的门诊特殊病种，推行按病种付费。结合区域点数法总额预算和按病种分值付费等工作实际，探索门诊统筹支付方式改革；对不宜打包付费的门诊费用，可按项目付费。科学合理确定医保药品支付标准，引导医疗机构和患者主动使用疗效确切、价格合理的药品。</w:t>
      </w:r>
    </w:p>
    <w:p w14:paraId="3D51CC1E" w14:textId="77777777" w:rsidR="009904E8" w:rsidRDefault="009904E8" w:rsidP="009904E8">
      <w:pPr>
        <w:pStyle w:val="a3"/>
        <w:shd w:val="clear" w:color="auto" w:fill="FFFFFF"/>
        <w:spacing w:before="0" w:beforeAutospacing="0" w:after="0" w:afterAutospacing="0" w:line="600" w:lineRule="atLeast"/>
        <w:ind w:firstLine="645"/>
        <w:jc w:val="center"/>
        <w:rPr>
          <w:rFonts w:ascii="微软雅黑" w:eastAsia="微软雅黑" w:hAnsi="微软雅黑"/>
          <w:color w:val="333333"/>
        </w:rPr>
      </w:pPr>
      <w:r>
        <w:rPr>
          <w:rFonts w:ascii="Arial" w:eastAsia="微软雅黑" w:hAnsi="Arial" w:cs="Arial"/>
          <w:color w:val="333333"/>
        </w:rPr>
        <w:t> </w:t>
      </w:r>
    </w:p>
    <w:p w14:paraId="061078B6" w14:textId="77777777" w:rsidR="009904E8" w:rsidRDefault="009904E8" w:rsidP="009904E8">
      <w:pPr>
        <w:pStyle w:val="a3"/>
        <w:shd w:val="clear" w:color="auto" w:fill="FFFFFF"/>
        <w:spacing w:before="0" w:beforeAutospacing="0" w:after="0" w:afterAutospacing="0" w:line="600" w:lineRule="atLeast"/>
        <w:ind w:firstLine="645"/>
        <w:jc w:val="center"/>
        <w:rPr>
          <w:rFonts w:ascii="微软雅黑" w:eastAsia="微软雅黑" w:hAnsi="微软雅黑"/>
          <w:color w:val="333333"/>
        </w:rPr>
      </w:pPr>
      <w:r>
        <w:rPr>
          <w:rFonts w:ascii="Arial" w:eastAsia="微软雅黑" w:hAnsi="Arial" w:cs="Arial"/>
          <w:color w:val="333333"/>
        </w:rPr>
        <w:t>第五章</w:t>
      </w:r>
      <w:r>
        <w:rPr>
          <w:rFonts w:ascii="Arial" w:eastAsia="微软雅黑" w:hAnsi="Arial" w:cs="Arial"/>
          <w:color w:val="333333"/>
        </w:rPr>
        <w:t> </w:t>
      </w:r>
      <w:r>
        <w:rPr>
          <w:rFonts w:ascii="Arial" w:eastAsia="微软雅黑" w:hAnsi="Arial" w:cs="Arial"/>
          <w:color w:val="333333"/>
        </w:rPr>
        <w:t>附</w:t>
      </w:r>
      <w:r>
        <w:rPr>
          <w:rFonts w:ascii="Arial" w:eastAsia="微软雅黑" w:hAnsi="Arial" w:cs="Arial"/>
          <w:color w:val="333333"/>
        </w:rPr>
        <w:t xml:space="preserve">  </w:t>
      </w:r>
      <w:r>
        <w:rPr>
          <w:rFonts w:ascii="Arial" w:eastAsia="微软雅黑" w:hAnsi="Arial" w:cs="Arial"/>
          <w:color w:val="333333"/>
        </w:rPr>
        <w:t>则</w:t>
      </w:r>
    </w:p>
    <w:p w14:paraId="40F3A17A" w14:textId="77777777" w:rsidR="009904E8" w:rsidRDefault="009904E8" w:rsidP="009904E8">
      <w:pPr>
        <w:pStyle w:val="a3"/>
        <w:shd w:val="clear" w:color="auto" w:fill="FFFFFF"/>
        <w:spacing w:before="0" w:beforeAutospacing="0" w:after="0" w:afterAutospacing="0" w:line="600" w:lineRule="atLeast"/>
        <w:ind w:firstLine="645"/>
        <w:jc w:val="both"/>
        <w:rPr>
          <w:rFonts w:ascii="微软雅黑" w:eastAsia="微软雅黑" w:hAnsi="微软雅黑"/>
          <w:color w:val="333333"/>
        </w:rPr>
      </w:pPr>
      <w:r>
        <w:rPr>
          <w:rFonts w:ascii="Arial" w:eastAsia="微软雅黑" w:hAnsi="Arial" w:cs="Arial"/>
          <w:color w:val="333333"/>
        </w:rPr>
        <w:t>第二十三条</w:t>
      </w:r>
      <w:r>
        <w:rPr>
          <w:rFonts w:ascii="Arial" w:eastAsia="微软雅黑" w:hAnsi="Arial" w:cs="Arial"/>
          <w:color w:val="333333"/>
        </w:rPr>
        <w:t> </w:t>
      </w:r>
      <w:r>
        <w:rPr>
          <w:rFonts w:ascii="Arial" w:eastAsia="微软雅黑" w:hAnsi="Arial" w:cs="Arial"/>
          <w:color w:val="333333"/>
        </w:rPr>
        <w:t>根据医疗技术发展和基金运行情况，职工门诊统筹基金支付比例、政策范围内统筹基金最高支付限额等，由市医保局商市财政局适时调整。</w:t>
      </w:r>
    </w:p>
    <w:p w14:paraId="5D86AA79"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t>第二十四条</w:t>
      </w:r>
      <w:r>
        <w:rPr>
          <w:rFonts w:ascii="Arial" w:eastAsia="微软雅黑" w:hAnsi="Arial" w:cs="Arial"/>
          <w:color w:val="333333"/>
        </w:rPr>
        <w:t> </w:t>
      </w:r>
      <w:r>
        <w:rPr>
          <w:rFonts w:ascii="Arial" w:eastAsia="微软雅黑" w:hAnsi="Arial" w:cs="Arial"/>
          <w:color w:val="333333"/>
        </w:rPr>
        <w:t>此前有关政策与本实施细则不一致的，以本实施细则为准。</w:t>
      </w:r>
    </w:p>
    <w:p w14:paraId="1246C60B" w14:textId="77777777" w:rsidR="009904E8" w:rsidRDefault="009904E8" w:rsidP="009904E8">
      <w:pPr>
        <w:pStyle w:val="a3"/>
        <w:shd w:val="clear" w:color="auto" w:fill="FFFFFF"/>
        <w:spacing w:before="0" w:beforeAutospacing="0" w:after="0" w:afterAutospacing="0" w:line="600" w:lineRule="atLeast"/>
        <w:ind w:firstLine="645"/>
        <w:rPr>
          <w:rFonts w:ascii="微软雅黑" w:eastAsia="微软雅黑" w:hAnsi="微软雅黑"/>
          <w:color w:val="333333"/>
        </w:rPr>
      </w:pPr>
      <w:r>
        <w:rPr>
          <w:rFonts w:ascii="Arial" w:eastAsia="微软雅黑" w:hAnsi="Arial" w:cs="Arial"/>
          <w:color w:val="333333"/>
        </w:rPr>
        <w:lastRenderedPageBreak/>
        <w:t>第二十五条</w:t>
      </w:r>
      <w:r>
        <w:rPr>
          <w:rFonts w:ascii="Arial" w:eastAsia="微软雅黑" w:hAnsi="Arial" w:cs="Arial"/>
          <w:color w:val="333333"/>
        </w:rPr>
        <w:t> </w:t>
      </w:r>
      <w:r>
        <w:rPr>
          <w:rFonts w:ascii="Arial" w:eastAsia="微软雅黑" w:hAnsi="Arial" w:cs="Arial"/>
          <w:color w:val="333333"/>
        </w:rPr>
        <w:t>本实施细则自</w:t>
      </w:r>
      <w:r>
        <w:rPr>
          <w:rFonts w:ascii="Arial" w:eastAsia="微软雅黑" w:hAnsi="Arial" w:cs="Arial"/>
          <w:color w:val="333333"/>
        </w:rPr>
        <w:t>2023</w:t>
      </w:r>
      <w:r>
        <w:rPr>
          <w:rFonts w:ascii="Arial" w:eastAsia="微软雅黑" w:hAnsi="Arial" w:cs="Arial"/>
          <w:color w:val="333333"/>
        </w:rPr>
        <w:t>年</w:t>
      </w:r>
      <w:r>
        <w:rPr>
          <w:rFonts w:ascii="Arial" w:eastAsia="微软雅黑" w:hAnsi="Arial" w:cs="Arial"/>
          <w:color w:val="333333"/>
        </w:rPr>
        <w:t>1</w:t>
      </w:r>
      <w:r>
        <w:rPr>
          <w:rFonts w:ascii="Arial" w:eastAsia="微软雅黑" w:hAnsi="Arial" w:cs="Arial"/>
          <w:color w:val="333333"/>
        </w:rPr>
        <w:t>月</w:t>
      </w:r>
      <w:r>
        <w:rPr>
          <w:rFonts w:ascii="Arial" w:eastAsia="微软雅黑" w:hAnsi="Arial" w:cs="Arial"/>
          <w:color w:val="333333"/>
        </w:rPr>
        <w:t>1</w:t>
      </w:r>
      <w:r>
        <w:rPr>
          <w:rFonts w:ascii="Arial" w:eastAsia="微软雅黑" w:hAnsi="Arial" w:cs="Arial"/>
          <w:color w:val="333333"/>
        </w:rPr>
        <w:t>日起施行，有效期</w:t>
      </w:r>
      <w:r>
        <w:rPr>
          <w:rFonts w:ascii="Arial" w:eastAsia="微软雅黑" w:hAnsi="Arial" w:cs="Arial"/>
          <w:color w:val="333333"/>
        </w:rPr>
        <w:t>5</w:t>
      </w:r>
      <w:r>
        <w:rPr>
          <w:rFonts w:ascii="Arial" w:eastAsia="微软雅黑" w:hAnsi="Arial" w:cs="Arial"/>
          <w:color w:val="333333"/>
        </w:rPr>
        <w:t>年。</w:t>
      </w:r>
    </w:p>
    <w:p w14:paraId="4E918357" w14:textId="77777777" w:rsidR="007B442E" w:rsidRPr="009904E8" w:rsidRDefault="007B442E"/>
    <w:sectPr w:rsidR="007B442E" w:rsidRPr="009904E8" w:rsidSect="004F550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35664" w14:textId="77777777" w:rsidR="008A6D2C" w:rsidRDefault="008A6D2C" w:rsidP="003138D6">
      <w:r>
        <w:separator/>
      </w:r>
    </w:p>
  </w:endnote>
  <w:endnote w:type="continuationSeparator" w:id="0">
    <w:p w14:paraId="6EB93161" w14:textId="77777777" w:rsidR="008A6D2C" w:rsidRDefault="008A6D2C" w:rsidP="0031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F2BC1" w14:textId="77777777" w:rsidR="008A6D2C" w:rsidRDefault="008A6D2C" w:rsidP="003138D6">
      <w:r>
        <w:separator/>
      </w:r>
    </w:p>
  </w:footnote>
  <w:footnote w:type="continuationSeparator" w:id="0">
    <w:p w14:paraId="436D867F" w14:textId="77777777" w:rsidR="008A6D2C" w:rsidRDefault="008A6D2C" w:rsidP="003138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9CB"/>
    <w:rsid w:val="003138D6"/>
    <w:rsid w:val="004F5507"/>
    <w:rsid w:val="006829CB"/>
    <w:rsid w:val="007B442E"/>
    <w:rsid w:val="008A6D2C"/>
    <w:rsid w:val="009904E8"/>
    <w:rsid w:val="00F80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A3185"/>
  <w15:chartTrackingRefBased/>
  <w15:docId w15:val="{1819B708-6194-49EB-A975-0A30F912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04E8"/>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3138D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138D6"/>
    <w:rPr>
      <w:sz w:val="18"/>
      <w:szCs w:val="18"/>
    </w:rPr>
  </w:style>
  <w:style w:type="paragraph" w:styleId="a6">
    <w:name w:val="footer"/>
    <w:basedOn w:val="a"/>
    <w:link w:val="a7"/>
    <w:uiPriority w:val="99"/>
    <w:unhideWhenUsed/>
    <w:rsid w:val="003138D6"/>
    <w:pPr>
      <w:tabs>
        <w:tab w:val="center" w:pos="4153"/>
        <w:tab w:val="right" w:pos="8306"/>
      </w:tabs>
      <w:snapToGrid w:val="0"/>
      <w:jc w:val="left"/>
    </w:pPr>
    <w:rPr>
      <w:sz w:val="18"/>
      <w:szCs w:val="18"/>
    </w:rPr>
  </w:style>
  <w:style w:type="character" w:customStyle="1" w:styleId="a7">
    <w:name w:val="页脚 字符"/>
    <w:basedOn w:val="a0"/>
    <w:link w:val="a6"/>
    <w:uiPriority w:val="99"/>
    <w:rsid w:val="003138D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29667">
      <w:bodyDiv w:val="1"/>
      <w:marLeft w:val="0"/>
      <w:marRight w:val="0"/>
      <w:marTop w:val="0"/>
      <w:marBottom w:val="0"/>
      <w:divBdr>
        <w:top w:val="none" w:sz="0" w:space="0" w:color="auto"/>
        <w:left w:val="none" w:sz="0" w:space="0" w:color="auto"/>
        <w:bottom w:val="none" w:sz="0" w:space="0" w:color="auto"/>
        <w:right w:val="none" w:sz="0" w:space="0" w:color="auto"/>
      </w:divBdr>
    </w:div>
    <w:div w:id="151344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Y</dc:creator>
  <cp:keywords/>
  <dc:description/>
  <cp:lastModifiedBy>HP</cp:lastModifiedBy>
  <cp:revision>4</cp:revision>
  <dcterms:created xsi:type="dcterms:W3CDTF">2022-08-02T00:34:00Z</dcterms:created>
  <dcterms:modified xsi:type="dcterms:W3CDTF">2023-03-29T09:16:00Z</dcterms:modified>
</cp:coreProperties>
</file>